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D63" w:rsidRDefault="00ED129B">
      <w:pPr>
        <w:spacing w:after="60"/>
        <w:jc w:val="center"/>
      </w:pPr>
      <w:r>
        <w:rPr>
          <w:b/>
          <w:bCs/>
          <w:color w:val="595959"/>
          <w:sz w:val="26"/>
          <w:szCs w:val="26"/>
        </w:rPr>
        <w:t>A Guide for Foreign Tenants</w:t>
      </w:r>
    </w:p>
    <w:p w:rsidR="00F00D63" w:rsidRDefault="00ED129B">
      <w:pPr>
        <w:spacing w:after="160"/>
        <w:jc w:val="center"/>
      </w:pPr>
      <w:r>
        <w:rPr>
          <w:b/>
          <w:bCs/>
          <w:color w:val="1F3864"/>
          <w:sz w:val="38"/>
          <w:szCs w:val="38"/>
        </w:rPr>
        <w:t>Safe Residential Leasing in South Korea</w:t>
      </w:r>
    </w:p>
    <w:p w:rsidR="00F00D63" w:rsidRDefault="00ED129B">
      <w:pPr>
        <w:pBdr>
          <w:bottom w:val="single" w:sz="12" w:space="4" w:color="2E75B6"/>
        </w:pBdr>
        <w:spacing w:after="300"/>
        <w:jc w:val="center"/>
      </w:pPr>
      <w:r>
        <w:rPr>
          <w:i/>
          <w:iCs/>
          <w:color w:val="595959"/>
          <w:sz w:val="21"/>
          <w:szCs w:val="21"/>
        </w:rPr>
        <w:t>A Step-by-Step Checklist for Protecting Your Deposit and Living Safely</w:t>
      </w:r>
    </w:p>
    <w:p w:rsidR="00F00D63" w:rsidRDefault="00ED129B">
      <w:pPr>
        <w:spacing w:after="120" w:line="300" w:lineRule="auto"/>
      </w:pPr>
      <w:r>
        <w:rPr>
          <w:color w:val="222222"/>
          <w:sz w:val="21"/>
          <w:szCs w:val="21"/>
        </w:rPr>
        <w:t>This guide summarizes what foreign tenants renting housing in South Korea should confirm and follow, from before signing a lease through move-out, in order to protect their security deposit (“</w:t>
      </w:r>
      <w:proofErr w:type="spellStart"/>
      <w:r>
        <w:rPr>
          <w:color w:val="222222"/>
          <w:sz w:val="21"/>
          <w:szCs w:val="21"/>
        </w:rPr>
        <w:t>jeonse</w:t>
      </w:r>
      <w:proofErr w:type="spellEnd"/>
      <w:r>
        <w:rPr>
          <w:color w:val="222222"/>
          <w:sz w:val="21"/>
          <w:szCs w:val="21"/>
        </w:rPr>
        <w:t>/</w:t>
      </w:r>
      <w:proofErr w:type="spellStart"/>
      <w:r>
        <w:rPr>
          <w:color w:val="222222"/>
          <w:sz w:val="21"/>
          <w:szCs w:val="21"/>
        </w:rPr>
        <w:t>wolse</w:t>
      </w:r>
      <w:proofErr w:type="spellEnd"/>
      <w:r>
        <w:rPr>
          <w:color w:val="222222"/>
          <w:sz w:val="21"/>
          <w:szCs w:val="21"/>
        </w:rPr>
        <w:t>” deposit) and avoid legal disputes. It reflects the</w:t>
      </w:r>
      <w:r>
        <w:rPr>
          <w:color w:val="222222"/>
          <w:sz w:val="21"/>
          <w:szCs w:val="21"/>
        </w:rPr>
        <w:t xml:space="preserve"> procedures and deadlines that apply to foreign nationals under the Immigration Control Act, the Housing Lease Protection Act, and the Act on Report on Real Estate Transactions.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00D63">
        <w:tblPrEx>
          <w:tblCellMar>
            <w:top w:w="0" w:type="dxa"/>
            <w:bottom w:w="0" w:type="dxa"/>
          </w:tblCellMar>
        </w:tblPrEx>
        <w:tc>
          <w:tcPr>
            <w:tcW w:w="9360" w:type="dxa"/>
            <w:shd w:val="clear" w:color="auto" w:fill="DCE6F1"/>
            <w:tcMar>
              <w:top w:w="160" w:type="dxa"/>
              <w:left w:w="220" w:type="dxa"/>
              <w:bottom w:w="160" w:type="dxa"/>
              <w:right w:w="220" w:type="dxa"/>
            </w:tcMar>
          </w:tcPr>
          <w:p w:rsidR="00F00D63" w:rsidRDefault="00ED129B">
            <w:pPr>
              <w:spacing w:after="80"/>
            </w:pPr>
            <w:r>
              <w:rPr>
                <w:b/>
                <w:bCs/>
                <w:color w:val="1F3864"/>
                <w:sz w:val="21"/>
                <w:szCs w:val="21"/>
              </w:rPr>
              <w:t>5 Steps to Deposit Safety (Must Confirm Before Signing)</w:t>
            </w:r>
          </w:p>
          <w:p w:rsidR="00F00D63" w:rsidRDefault="00ED129B">
            <w:pPr>
              <w:spacing w:after="40"/>
            </w:pPr>
            <w:r>
              <w:rPr>
                <w:color w:val="333333"/>
              </w:rPr>
              <w:t>· ① Verify the landlor</w:t>
            </w:r>
            <w:r>
              <w:rPr>
                <w:color w:val="333333"/>
              </w:rPr>
              <w:t>d's identity — confirm the contracting party matches the registered owner on the property register</w:t>
            </w:r>
          </w:p>
          <w:p w:rsidR="00F00D63" w:rsidRDefault="00ED129B">
            <w:pPr>
              <w:spacing w:after="40"/>
            </w:pPr>
            <w:r>
              <w:rPr>
                <w:color w:val="333333"/>
              </w:rPr>
              <w:t>· ② Check the property register (</w:t>
            </w:r>
            <w:proofErr w:type="spellStart"/>
            <w:r>
              <w:rPr>
                <w:color w:val="333333"/>
              </w:rPr>
              <w:t>deunggibu</w:t>
            </w:r>
            <w:proofErr w:type="spellEnd"/>
            <w:r>
              <w:rPr>
                <w:color w:val="333333"/>
              </w:rPr>
              <w:t xml:space="preserve"> </w:t>
            </w:r>
            <w:proofErr w:type="spellStart"/>
            <w:r>
              <w:rPr>
                <w:color w:val="333333"/>
              </w:rPr>
              <w:t>deungbon</w:t>
            </w:r>
            <w:proofErr w:type="spellEnd"/>
            <w:r>
              <w:rPr>
                <w:color w:val="333333"/>
              </w:rPr>
              <w:t>) — mortgages, seizures, provisional seizures/dispositions, trust registration</w:t>
            </w:r>
          </w:p>
          <w:p w:rsidR="00F00D63" w:rsidRDefault="00ED129B">
            <w:pPr>
              <w:spacing w:after="40"/>
            </w:pPr>
            <w:r>
              <w:rPr>
                <w:color w:val="333333"/>
              </w:rPr>
              <w:t>· ③ Check senior (prior) ri</w:t>
            </w:r>
            <w:r>
              <w:rPr>
                <w:color w:val="333333"/>
              </w:rPr>
              <w:t>ghts — for multi-household houses, confirm the amount of senior tenants' deposits</w:t>
            </w:r>
          </w:p>
          <w:p w:rsidR="00F00D63" w:rsidRDefault="00ED129B">
            <w:pPr>
              <w:spacing w:after="40"/>
            </w:pPr>
            <w:r>
              <w:rPr>
                <w:color w:val="333333"/>
              </w:rPr>
              <w:t>· ④ Assess deposit adequacy — make sure the deposit plus senior rights is not excessive relative to the property's value</w:t>
            </w:r>
          </w:p>
          <w:p w:rsidR="00F00D63" w:rsidRDefault="00ED129B">
            <w:pPr>
              <w:spacing w:after="40"/>
            </w:pPr>
            <w:r>
              <w:rPr>
                <w:color w:val="333333"/>
              </w:rPr>
              <w:t>· ⑤ Check your stay period — compare your visa (statu</w:t>
            </w:r>
            <w:r>
              <w:rPr>
                <w:color w:val="333333"/>
              </w:rPr>
              <w:t>s of stay) validity with the lease term</w:t>
            </w:r>
          </w:p>
        </w:tc>
      </w:tr>
    </w:tbl>
    <w:p w:rsidR="00F00D63" w:rsidRDefault="00ED129B">
      <w:pPr>
        <w:pStyle w:val="1"/>
        <w:pBdr>
          <w:bottom w:val="single" w:sz="8" w:space="4" w:color="1F3864"/>
        </w:pBdr>
        <w:spacing w:before="360" w:after="160"/>
      </w:pPr>
      <w:r>
        <w:rPr>
          <w:b/>
          <w:bCs/>
          <w:color w:val="1F3864"/>
          <w:sz w:val="28"/>
          <w:szCs w:val="28"/>
        </w:rPr>
        <w:t>1. Before Signing: Ownership, Rights, and Visa Status</w:t>
      </w:r>
    </w:p>
    <w:p w:rsidR="00F00D63" w:rsidRDefault="00ED129B">
      <w:pPr>
        <w:pStyle w:val="a4"/>
        <w:numPr>
          <w:ilvl w:val="0"/>
          <w:numId w:val="2"/>
        </w:numPr>
        <w:spacing w:after="90" w:line="300" w:lineRule="auto"/>
      </w:pPr>
      <w:r>
        <w:rPr>
          <w:b/>
          <w:bCs/>
          <w:color w:val="222222"/>
          <w:sz w:val="21"/>
          <w:szCs w:val="21"/>
        </w:rPr>
        <w:t>Check the property register (top priority): Confirm that the person you are contracting with is in fact the registered owner. Check the scale of any mortgages, and whether there are seizures, provisional seizures/dispositions, or trust registrations.</w:t>
      </w:r>
    </w:p>
    <w:p w:rsidR="00F00D63" w:rsidRDefault="00ED129B">
      <w:pPr>
        <w:pStyle w:val="a4"/>
        <w:numPr>
          <w:ilvl w:val="0"/>
          <w:numId w:val="2"/>
        </w:numPr>
        <w:spacing w:after="90" w:line="300" w:lineRule="auto"/>
      </w:pPr>
      <w:r>
        <w:rPr>
          <w:color w:val="222222"/>
          <w:sz w:val="21"/>
          <w:szCs w:val="21"/>
        </w:rPr>
        <w:t>Check</w:t>
      </w:r>
      <w:r>
        <w:rPr>
          <w:color w:val="222222"/>
          <w:sz w:val="21"/>
          <w:szCs w:val="21"/>
        </w:rPr>
        <w:t xml:space="preserve"> senior rights: For multi-household houses (</w:t>
      </w:r>
      <w:proofErr w:type="spellStart"/>
      <w:r>
        <w:rPr>
          <w:color w:val="222222"/>
          <w:sz w:val="21"/>
          <w:szCs w:val="21"/>
        </w:rPr>
        <w:t>dagagu</w:t>
      </w:r>
      <w:proofErr w:type="spellEnd"/>
      <w:r>
        <w:rPr>
          <w:color w:val="222222"/>
          <w:sz w:val="21"/>
          <w:szCs w:val="21"/>
        </w:rPr>
        <w:t>), the property register alone often cannot reveal the size of senior tenants' deposits, so extra caution is needed. Ask the real estate agency to confirm the status of senior deposit claims.</w:t>
      </w:r>
    </w:p>
    <w:p w:rsidR="00F00D63" w:rsidRDefault="00ED129B">
      <w:pPr>
        <w:pStyle w:val="a4"/>
        <w:numPr>
          <w:ilvl w:val="0"/>
          <w:numId w:val="2"/>
        </w:numPr>
        <w:spacing w:after="90" w:line="300" w:lineRule="auto"/>
      </w:pPr>
      <w:r>
        <w:rPr>
          <w:color w:val="222222"/>
          <w:sz w:val="21"/>
          <w:szCs w:val="21"/>
        </w:rPr>
        <w:t>Assess deposit</w:t>
      </w:r>
      <w:r>
        <w:rPr>
          <w:color w:val="222222"/>
          <w:sz w:val="21"/>
          <w:szCs w:val="21"/>
        </w:rPr>
        <w:t xml:space="preserve"> adequacy: Confirm that your deposit combined with senior rights (mortgages, senior tenants' deposits, etc.) is not excessive relative to the market value of the property.</w:t>
      </w:r>
    </w:p>
    <w:p w:rsidR="00F00D63" w:rsidRDefault="00ED129B">
      <w:pPr>
        <w:pStyle w:val="a4"/>
        <w:numPr>
          <w:ilvl w:val="0"/>
          <w:numId w:val="2"/>
        </w:numPr>
        <w:spacing w:after="90" w:line="300" w:lineRule="auto"/>
      </w:pPr>
      <w:r>
        <w:rPr>
          <w:color w:val="222222"/>
          <w:sz w:val="21"/>
          <w:szCs w:val="21"/>
        </w:rPr>
        <w:t xml:space="preserve">Check your stay period: Your visa (status of stay) expiration date does not have to </w:t>
      </w:r>
      <w:r>
        <w:rPr>
          <w:color w:val="222222"/>
          <w:sz w:val="21"/>
          <w:szCs w:val="21"/>
        </w:rPr>
        <w:t>match the lease term exactly — you may be able to extend your stay or change your status. The accurate approach is: “Check both the lease term and your period of stay together, and if an extension or change of status will be needed, confirm the relevant im</w:t>
      </w:r>
      <w:r>
        <w:rPr>
          <w:color w:val="222222"/>
          <w:sz w:val="21"/>
          <w:szCs w:val="21"/>
        </w:rPr>
        <w:t>migration procedures in advance.”</w:t>
      </w:r>
    </w:p>
    <w:p w:rsidR="00F00D63" w:rsidRDefault="00ED129B">
      <w:pPr>
        <w:pStyle w:val="a4"/>
        <w:numPr>
          <w:ilvl w:val="0"/>
          <w:numId w:val="2"/>
        </w:numPr>
        <w:spacing w:after="90" w:line="300" w:lineRule="auto"/>
      </w:pPr>
      <w:bookmarkStart w:id="0" w:name="_GoBack"/>
      <w:bookmarkEnd w:id="0"/>
      <w:r>
        <w:rPr>
          <w:color w:val="222222"/>
          <w:sz w:val="21"/>
          <w:szCs w:val="21"/>
        </w:rPr>
        <w:t>Prepare emergency contacts: Have on hand the contact d</w:t>
      </w:r>
      <w:r>
        <w:rPr>
          <w:color w:val="222222"/>
          <w:sz w:val="21"/>
          <w:szCs w:val="21"/>
        </w:rPr>
        <w:t>etails of your employer in Korea (company representative/manager), a guarantor, or someone who can communicate in Korean.</w:t>
      </w:r>
    </w:p>
    <w:p w:rsidR="00F00D63" w:rsidRDefault="00ED129B">
      <w:pPr>
        <w:pStyle w:val="1"/>
        <w:pBdr>
          <w:bottom w:val="single" w:sz="8" w:space="4" w:color="1F3864"/>
        </w:pBdr>
        <w:spacing w:before="360" w:after="160"/>
      </w:pPr>
      <w:r>
        <w:rPr>
          <w:b/>
          <w:bCs/>
          <w:color w:val="1F3864"/>
          <w:sz w:val="28"/>
          <w:szCs w:val="28"/>
        </w:rPr>
        <w:t>2. When Signing: Reviewing the Contract and Special Clauses</w:t>
      </w:r>
    </w:p>
    <w:p w:rsidR="00F00D63" w:rsidRDefault="00ED129B">
      <w:pPr>
        <w:pStyle w:val="a4"/>
        <w:numPr>
          <w:ilvl w:val="0"/>
          <w:numId w:val="2"/>
        </w:numPr>
        <w:spacing w:after="90" w:line="300" w:lineRule="auto"/>
      </w:pPr>
      <w:r>
        <w:rPr>
          <w:b/>
          <w:bCs/>
          <w:color w:val="222222"/>
          <w:sz w:val="21"/>
          <w:szCs w:val="21"/>
        </w:rPr>
        <w:t xml:space="preserve">The Korean-language contract prevails: Lease contracts are executed based </w:t>
      </w:r>
      <w:r>
        <w:rPr>
          <w:b/>
          <w:bCs/>
          <w:color w:val="222222"/>
          <w:sz w:val="21"/>
          <w:szCs w:val="21"/>
        </w:rPr>
        <w:t>on the official Korean-language version. If there is any discrepancy with a reference translation (e.g., English), the Korean version controls. Review the contract language carefully — with interpretation/translation help — before signing.</w:t>
      </w:r>
    </w:p>
    <w:p w:rsidR="00F00D63" w:rsidRDefault="00ED129B">
      <w:pPr>
        <w:pStyle w:val="a4"/>
        <w:numPr>
          <w:ilvl w:val="0"/>
          <w:numId w:val="2"/>
        </w:numPr>
        <w:spacing w:after="90" w:line="300" w:lineRule="auto"/>
      </w:pPr>
      <w:r>
        <w:rPr>
          <w:color w:val="222222"/>
          <w:sz w:val="21"/>
          <w:szCs w:val="21"/>
        </w:rPr>
        <w:lastRenderedPageBreak/>
        <w:t>Sending the depo</w:t>
      </w:r>
      <w:r>
        <w:rPr>
          <w:color w:val="222222"/>
          <w:sz w:val="21"/>
          <w:szCs w:val="21"/>
        </w:rPr>
        <w:t>sit/down payment: In principle, transfer funds to a bank account in the landlord's own name (matching the registered owner), and keep both the contract and the remittance record.</w:t>
      </w:r>
    </w:p>
    <w:p w:rsidR="00F00D63" w:rsidRDefault="00ED129B">
      <w:pPr>
        <w:pStyle w:val="a4"/>
        <w:numPr>
          <w:ilvl w:val="0"/>
          <w:numId w:val="2"/>
        </w:numPr>
        <w:spacing w:after="90" w:line="300" w:lineRule="auto"/>
      </w:pPr>
      <w:r>
        <w:rPr>
          <w:color w:val="222222"/>
          <w:sz w:val="21"/>
          <w:szCs w:val="21"/>
        </w:rPr>
        <w:t>Restoration and cleaning-fee clauses: Tenants are generally obligated to rest</w:t>
      </w:r>
      <w:r>
        <w:rPr>
          <w:color w:val="222222"/>
          <w:sz w:val="21"/>
          <w:szCs w:val="21"/>
        </w:rPr>
        <w:t>ore the unit (kitchen, bathroom, etc.) to its condition at move-in upon move-out. Check whether there is a clause allowing a professional cleaning fee (typically about KRW 200,000–300,000) to be deducted from the deposit.</w:t>
      </w:r>
    </w:p>
    <w:p w:rsidR="00F00D63" w:rsidRDefault="00ED129B">
      <w:pPr>
        <w:pStyle w:val="a4"/>
        <w:numPr>
          <w:ilvl w:val="0"/>
          <w:numId w:val="2"/>
        </w:numPr>
        <w:spacing w:after="90" w:line="300" w:lineRule="auto"/>
      </w:pPr>
      <w:r>
        <w:rPr>
          <w:b/>
          <w:bCs/>
          <w:color w:val="222222"/>
          <w:sz w:val="21"/>
          <w:szCs w:val="21"/>
        </w:rPr>
        <w:t>Rent arrears / loss-of-contact cla</w:t>
      </w:r>
      <w:r>
        <w:rPr>
          <w:b/>
          <w:bCs/>
          <w:color w:val="222222"/>
          <w:sz w:val="21"/>
          <w:szCs w:val="21"/>
        </w:rPr>
        <w:t>uses: Conditions for termination due to rent arrears, or how a tenant's belongings may be handled, vary by contract and are matters of specific special clauses — not a general rule applicable to every lease. Clauses such as “termination after ♦ months of a</w:t>
      </w:r>
      <w:r>
        <w:rPr>
          <w:b/>
          <w:bCs/>
          <w:color w:val="222222"/>
          <w:sz w:val="21"/>
          <w:szCs w:val="21"/>
        </w:rPr>
        <w:t>rrears” or “disposal of belongings after ♦ days of no contact” are not automatically valid law; a landlord generally cannot dispose of a tenant's belongings arbitrarily. Confirm the specific wording of any such clause and the applicable legal procedure bef</w:t>
      </w:r>
      <w:r>
        <w:rPr>
          <w:b/>
          <w:bCs/>
          <w:color w:val="222222"/>
          <w:sz w:val="21"/>
          <w:szCs w:val="21"/>
        </w:rPr>
        <w:t>ore agreeing to it.</w:t>
      </w:r>
    </w:p>
    <w:p w:rsidR="00F00D63" w:rsidRDefault="00ED129B">
      <w:pPr>
        <w:spacing w:after="140"/>
        <w:ind w:left="460"/>
      </w:pPr>
      <w:r>
        <w:rPr>
          <w:i/>
          <w:iCs/>
          <w:color w:val="595959"/>
          <w:sz w:val="19"/>
          <w:szCs w:val="19"/>
        </w:rPr>
        <w:t>Practical tip: If such a clause appears in the special terms, clarify its conditions and procedure with the agency or landlord in writing before signing.</w:t>
      </w:r>
    </w:p>
    <w:p w:rsidR="00F00D63" w:rsidRDefault="00ED129B">
      <w:pPr>
        <w:pStyle w:val="1"/>
        <w:pBdr>
          <w:bottom w:val="single" w:sz="8" w:space="4" w:color="1F3864"/>
        </w:pBdr>
        <w:spacing w:before="360" w:after="160"/>
      </w:pPr>
      <w:r>
        <w:rPr>
          <w:b/>
          <w:bCs/>
          <w:color w:val="1F3864"/>
          <w:sz w:val="28"/>
          <w:szCs w:val="28"/>
        </w:rPr>
        <w:t>3. Move-in Day: Documenting Condition and Local Rules</w:t>
      </w:r>
    </w:p>
    <w:p w:rsidR="00F00D63" w:rsidRDefault="00ED129B">
      <w:pPr>
        <w:pStyle w:val="a4"/>
        <w:numPr>
          <w:ilvl w:val="0"/>
          <w:numId w:val="2"/>
        </w:numPr>
        <w:spacing w:after="90" w:line="300" w:lineRule="auto"/>
      </w:pPr>
      <w:r>
        <w:rPr>
          <w:b/>
          <w:bCs/>
          <w:color w:val="222222"/>
          <w:sz w:val="21"/>
          <w:szCs w:val="21"/>
        </w:rPr>
        <w:t>Photograph/video the unit at</w:t>
      </w:r>
      <w:r>
        <w:rPr>
          <w:b/>
          <w:bCs/>
          <w:color w:val="222222"/>
          <w:sz w:val="21"/>
          <w:szCs w:val="21"/>
        </w:rPr>
        <w:t xml:space="preserve"> move-in: Take detailed photos or video of the kitchen hood, walls, bathroom, wallpaper, and flooring condition, and share them with the landlord or agency. This is key evidence to prevent disputes over restoration at move-out.</w:t>
      </w:r>
    </w:p>
    <w:p w:rsidR="00F00D63" w:rsidRDefault="00ED129B">
      <w:pPr>
        <w:pStyle w:val="a4"/>
        <w:numPr>
          <w:ilvl w:val="0"/>
          <w:numId w:val="2"/>
        </w:numPr>
        <w:spacing w:after="90" w:line="300" w:lineRule="auto"/>
      </w:pPr>
      <w:r>
        <w:rPr>
          <w:color w:val="222222"/>
          <w:sz w:val="21"/>
          <w:szCs w:val="21"/>
        </w:rPr>
        <w:t>Check waste-separation guida</w:t>
      </w:r>
      <w:r>
        <w:rPr>
          <w:color w:val="222222"/>
          <w:sz w:val="21"/>
          <w:szCs w:val="21"/>
        </w:rPr>
        <w:t>nce: Obtain the multilingual waste-separation guide distributed by your local district office (</w:t>
      </w:r>
      <w:proofErr w:type="spellStart"/>
      <w:proofErr w:type="gramStart"/>
      <w:r>
        <w:rPr>
          <w:color w:val="222222"/>
          <w:sz w:val="21"/>
          <w:szCs w:val="21"/>
        </w:rPr>
        <w:t>gu</w:t>
      </w:r>
      <w:proofErr w:type="spellEnd"/>
      <w:proofErr w:type="gramEnd"/>
      <w:r>
        <w:rPr>
          <w:color w:val="222222"/>
          <w:sz w:val="21"/>
          <w:szCs w:val="21"/>
        </w:rPr>
        <w:t xml:space="preserve"> office) and follow the designated collection days and methods for your area.</w:t>
      </w:r>
    </w:p>
    <w:p w:rsidR="00F00D63" w:rsidRDefault="00ED129B">
      <w:pPr>
        <w:pStyle w:val="1"/>
        <w:pBdr>
          <w:bottom w:val="single" w:sz="8" w:space="4" w:color="1F3864"/>
        </w:pBdr>
        <w:spacing w:before="360" w:after="160"/>
      </w:pPr>
      <w:r>
        <w:rPr>
          <w:b/>
          <w:bCs/>
          <w:color w:val="1F3864"/>
          <w:sz w:val="28"/>
          <w:szCs w:val="28"/>
        </w:rPr>
        <w:t>4. Immediately After Move-in: Securing Legal Protection (Most Important)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0"/>
        <w:gridCol w:w="8360"/>
      </w:tblGrid>
      <w:tr w:rsidR="00F00D63">
        <w:tblPrEx>
          <w:tblCellMar>
            <w:top w:w="0" w:type="dxa"/>
            <w:bottom w:w="0" w:type="dxa"/>
          </w:tblCellMar>
        </w:tblPrEx>
        <w:trPr>
          <w:tblHeader/>
        </w:trPr>
        <w:tc>
          <w:tcPr>
            <w:tcW w:w="1000" w:type="dxa"/>
            <w:shd w:val="clear" w:color="auto" w:fill="1F3864"/>
            <w:tcMar>
              <w:top w:w="100" w:type="dxa"/>
              <w:left w:w="120" w:type="dxa"/>
              <w:bottom w:w="100" w:type="dxa"/>
              <w:right w:w="120" w:type="dxa"/>
            </w:tcMar>
          </w:tcPr>
          <w:p w:rsidR="00F00D63" w:rsidRDefault="00ED129B">
            <w:pPr>
              <w:jc w:val="center"/>
            </w:pPr>
            <w:r>
              <w:rPr>
                <w:b/>
                <w:bCs/>
                <w:color w:val="FFFFFF"/>
              </w:rPr>
              <w:t>Step</w:t>
            </w:r>
          </w:p>
        </w:tc>
        <w:tc>
          <w:tcPr>
            <w:tcW w:w="8360" w:type="dxa"/>
            <w:shd w:val="clear" w:color="auto" w:fill="1F3864"/>
            <w:tcMar>
              <w:top w:w="100" w:type="dxa"/>
              <w:left w:w="120" w:type="dxa"/>
              <w:bottom w:w="100" w:type="dxa"/>
              <w:right w:w="120" w:type="dxa"/>
            </w:tcMar>
          </w:tcPr>
          <w:p w:rsidR="00F00D63" w:rsidRDefault="00ED129B">
            <w:r>
              <w:rPr>
                <w:b/>
                <w:bCs/>
                <w:color w:val="FFFFFF"/>
              </w:rPr>
              <w:t>Required Actions</w:t>
            </w:r>
          </w:p>
        </w:tc>
      </w:tr>
      <w:tr w:rsidR="00F00D63">
        <w:tblPrEx>
          <w:tblCellMar>
            <w:top w:w="0" w:type="dxa"/>
            <w:bottom w:w="0" w:type="dxa"/>
          </w:tblCellMar>
        </w:tblPrEx>
        <w:tc>
          <w:tcPr>
            <w:tcW w:w="1000" w:type="dxa"/>
            <w:shd w:val="clear" w:color="auto" w:fill="F2F2F2"/>
            <w:tcMar>
              <w:top w:w="90" w:type="dxa"/>
              <w:left w:w="120" w:type="dxa"/>
              <w:bottom w:w="90" w:type="dxa"/>
              <w:right w:w="120" w:type="dxa"/>
            </w:tcMar>
          </w:tcPr>
          <w:p w:rsidR="00F00D63" w:rsidRDefault="00ED129B">
            <w:pPr>
              <w:jc w:val="center"/>
            </w:pPr>
            <w:r>
              <w:rPr>
                <w:b/>
                <w:bCs/>
                <w:color w:val="2E75B6"/>
              </w:rPr>
              <w:t>①</w:t>
            </w:r>
          </w:p>
        </w:tc>
        <w:tc>
          <w:tcPr>
            <w:tcW w:w="8360" w:type="dxa"/>
            <w:shd w:val="clear" w:color="auto" w:fill="F2F2F2"/>
            <w:tcMar>
              <w:top w:w="90" w:type="dxa"/>
              <w:left w:w="150" w:type="dxa"/>
              <w:bottom w:w="90" w:type="dxa"/>
              <w:right w:w="120" w:type="dxa"/>
            </w:tcMar>
          </w:tcPr>
          <w:p w:rsidR="00F00D63" w:rsidRDefault="00ED129B">
            <w:r>
              <w:rPr>
                <w:color w:val="222222"/>
              </w:rPr>
              <w:t xml:space="preserve">Report of change of place of stay — Under Article 36 of the Immigration Control Act, you must report your new place of stay to the relevant </w:t>
            </w:r>
            <w:proofErr w:type="spellStart"/>
            <w:r>
              <w:rPr>
                <w:color w:val="222222"/>
              </w:rPr>
              <w:t>si</w:t>
            </w:r>
            <w:proofErr w:type="spellEnd"/>
            <w:r>
              <w:rPr>
                <w:color w:val="222222"/>
              </w:rPr>
              <w:t>/gun/</w:t>
            </w:r>
            <w:proofErr w:type="spellStart"/>
            <w:r>
              <w:rPr>
                <w:color w:val="222222"/>
              </w:rPr>
              <w:t>gu</w:t>
            </w:r>
            <w:proofErr w:type="spellEnd"/>
            <w:r>
              <w:rPr>
                <w:color w:val="222222"/>
              </w:rPr>
              <w:t xml:space="preserve"> or </w:t>
            </w:r>
            <w:proofErr w:type="spellStart"/>
            <w:r>
              <w:rPr>
                <w:color w:val="222222"/>
              </w:rPr>
              <w:t>eup</w:t>
            </w:r>
            <w:proofErr w:type="spellEnd"/>
            <w:r>
              <w:rPr>
                <w:color w:val="222222"/>
              </w:rPr>
              <w:t>/</w:t>
            </w:r>
            <w:proofErr w:type="spellStart"/>
            <w:r>
              <w:rPr>
                <w:color w:val="222222"/>
              </w:rPr>
              <w:t>myeon</w:t>
            </w:r>
            <w:proofErr w:type="spellEnd"/>
            <w:r>
              <w:rPr>
                <w:color w:val="222222"/>
              </w:rPr>
              <w:t>/dong office, or the competent immigration office, within 15 days of moving in.</w:t>
            </w:r>
          </w:p>
        </w:tc>
      </w:tr>
      <w:tr w:rsidR="00F00D63">
        <w:tblPrEx>
          <w:tblCellMar>
            <w:top w:w="0" w:type="dxa"/>
            <w:bottom w:w="0" w:type="dxa"/>
          </w:tblCellMar>
        </w:tblPrEx>
        <w:tc>
          <w:tcPr>
            <w:tcW w:w="1000" w:type="dxa"/>
            <w:shd w:val="clear" w:color="auto" w:fill="FFFFFF"/>
            <w:tcMar>
              <w:top w:w="90" w:type="dxa"/>
              <w:left w:w="120" w:type="dxa"/>
              <w:bottom w:w="90" w:type="dxa"/>
              <w:right w:w="120" w:type="dxa"/>
            </w:tcMar>
          </w:tcPr>
          <w:p w:rsidR="00F00D63" w:rsidRDefault="00ED129B">
            <w:pPr>
              <w:jc w:val="center"/>
            </w:pPr>
            <w:r>
              <w:rPr>
                <w:b/>
                <w:bCs/>
                <w:color w:val="2E75B6"/>
              </w:rPr>
              <w:t>②</w:t>
            </w:r>
          </w:p>
        </w:tc>
        <w:tc>
          <w:tcPr>
            <w:tcW w:w="8360" w:type="dxa"/>
            <w:shd w:val="clear" w:color="auto" w:fill="FFFFFF"/>
            <w:tcMar>
              <w:top w:w="90" w:type="dxa"/>
              <w:left w:w="150" w:type="dxa"/>
              <w:bottom w:w="90" w:type="dxa"/>
              <w:right w:w="120" w:type="dxa"/>
            </w:tcMar>
          </w:tcPr>
          <w:p w:rsidR="00F00D63" w:rsidRDefault="00ED129B">
            <w:r>
              <w:rPr>
                <w:color w:val="222222"/>
              </w:rPr>
              <w:t>Housing lease report — If your lease is subject to mandatory reporting, report it within 30 days of the contract date, through the relevant district office or the Real Estate Transaction Management System (RTMS).</w:t>
            </w:r>
          </w:p>
        </w:tc>
      </w:tr>
      <w:tr w:rsidR="00F00D63">
        <w:tblPrEx>
          <w:tblCellMar>
            <w:top w:w="0" w:type="dxa"/>
            <w:bottom w:w="0" w:type="dxa"/>
          </w:tblCellMar>
        </w:tblPrEx>
        <w:tc>
          <w:tcPr>
            <w:tcW w:w="1000" w:type="dxa"/>
            <w:shd w:val="clear" w:color="auto" w:fill="F2F2F2"/>
            <w:tcMar>
              <w:top w:w="90" w:type="dxa"/>
              <w:left w:w="120" w:type="dxa"/>
              <w:bottom w:w="90" w:type="dxa"/>
              <w:right w:w="120" w:type="dxa"/>
            </w:tcMar>
          </w:tcPr>
          <w:p w:rsidR="00F00D63" w:rsidRDefault="00ED129B">
            <w:pPr>
              <w:jc w:val="center"/>
            </w:pPr>
            <w:r>
              <w:rPr>
                <w:b/>
                <w:bCs/>
                <w:color w:val="2E75B6"/>
              </w:rPr>
              <w:t>③</w:t>
            </w:r>
          </w:p>
        </w:tc>
        <w:tc>
          <w:tcPr>
            <w:tcW w:w="8360" w:type="dxa"/>
            <w:shd w:val="clear" w:color="auto" w:fill="F2F2F2"/>
            <w:tcMar>
              <w:top w:w="90" w:type="dxa"/>
              <w:left w:w="150" w:type="dxa"/>
              <w:bottom w:w="90" w:type="dxa"/>
              <w:right w:w="120" w:type="dxa"/>
            </w:tcMar>
          </w:tcPr>
          <w:p w:rsidR="00F00D63" w:rsidRDefault="00ED129B">
            <w:r>
              <w:rPr>
                <w:color w:val="222222"/>
              </w:rPr>
              <w:t>Automatic issuance of a fixed date (</w:t>
            </w:r>
            <w:proofErr w:type="spellStart"/>
            <w:r>
              <w:rPr>
                <w:color w:val="222222"/>
              </w:rPr>
              <w:t>hwakjeongiljja</w:t>
            </w:r>
            <w:proofErr w:type="spellEnd"/>
            <w:r>
              <w:rPr>
                <w:color w:val="222222"/>
              </w:rPr>
              <w:t>) — Submitting the contract together with the lease report automatically results in a fixed date being granted, effective as of the date the report is received (per Ministry of Land, Infrastructure and Tran</w:t>
            </w:r>
            <w:r>
              <w:rPr>
                <w:color w:val="222222"/>
              </w:rPr>
              <w:t>sport guidance).</w:t>
            </w:r>
          </w:p>
        </w:tc>
      </w:tr>
    </w:tbl>
    <w:p w:rsidR="00F00D63" w:rsidRDefault="00F00D63">
      <w:pPr>
        <w:spacing w:before="160"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00D63">
        <w:tblPrEx>
          <w:tblCellMar>
            <w:top w:w="0" w:type="dxa"/>
            <w:bottom w:w="0" w:type="dxa"/>
          </w:tblCellMar>
        </w:tblPrEx>
        <w:tc>
          <w:tcPr>
            <w:tcW w:w="9360" w:type="dxa"/>
            <w:shd w:val="clear" w:color="auto" w:fill="DCE6F1"/>
            <w:tcMar>
              <w:top w:w="160" w:type="dxa"/>
              <w:left w:w="220" w:type="dxa"/>
              <w:bottom w:w="160" w:type="dxa"/>
              <w:right w:w="220" w:type="dxa"/>
            </w:tcMar>
          </w:tcPr>
          <w:p w:rsidR="00F00D63" w:rsidRDefault="00ED129B">
            <w:pPr>
              <w:spacing w:after="80"/>
            </w:pPr>
            <w:r>
              <w:rPr>
                <w:b/>
                <w:bCs/>
                <w:color w:val="1F3864"/>
                <w:sz w:val="21"/>
                <w:szCs w:val="21"/>
              </w:rPr>
              <w:t>Why This Matters</w:t>
            </w:r>
          </w:p>
          <w:p w:rsidR="00F00D63" w:rsidRDefault="00ED129B">
            <w:pPr>
              <w:spacing w:after="40"/>
            </w:pPr>
            <w:r>
              <w:rPr>
                <w:color w:val="333333"/>
              </w:rPr>
              <w:t>· Under Supreme Court precedent, when a foreign national completes alien registration and reports a change of place of stay, this can — under certain conditions — carry the same legal effect as a Korean national'</w:t>
            </w:r>
            <w:r>
              <w:rPr>
                <w:color w:val="333333"/>
              </w:rPr>
              <w:t>s resident registration (</w:t>
            </w:r>
            <w:proofErr w:type="spellStart"/>
            <w:r>
              <w:rPr>
                <w:color w:val="333333"/>
              </w:rPr>
              <w:t>jumin-deungrok</w:t>
            </w:r>
            <w:proofErr w:type="spellEnd"/>
            <w:r>
              <w:rPr>
                <w:color w:val="333333"/>
              </w:rPr>
              <w:t>) under the Housing Lease Protection Act.</w:t>
            </w:r>
          </w:p>
          <w:p w:rsidR="00F00D63" w:rsidRDefault="00ED129B">
            <w:pPr>
              <w:spacing w:after="40"/>
            </w:pPr>
            <w:r>
              <w:rPr>
                <w:color w:val="333333"/>
              </w:rPr>
              <w:t>· In other words, foreign nationals are not excluded from the protection of the Housing Lease Protection Act simply because they are foreign; completing the change-of-stay rep</w:t>
            </w:r>
            <w:r>
              <w:rPr>
                <w:color w:val="333333"/>
              </w:rPr>
              <w:t>ort and obtaining a fixed date are the core requirements for protecting your deposit.</w:t>
            </w:r>
          </w:p>
          <w:p w:rsidR="00F00D63" w:rsidRDefault="00ED129B">
            <w:pPr>
              <w:spacing w:after="40"/>
            </w:pPr>
            <w:r>
              <w:rPr>
                <w:color w:val="333333"/>
              </w:rPr>
              <w:t>· Do not think of this as merely “updating an address” — treat it as “report the change of place of stay after actual move-in and secure a fixed date,” and complete it wi</w:t>
            </w:r>
            <w:r>
              <w:rPr>
                <w:color w:val="333333"/>
              </w:rPr>
              <w:t>thin the deadline.</w:t>
            </w:r>
          </w:p>
        </w:tc>
      </w:tr>
    </w:tbl>
    <w:p w:rsidR="00F00D63" w:rsidRDefault="00ED129B">
      <w:pPr>
        <w:pStyle w:val="1"/>
        <w:pBdr>
          <w:bottom w:val="single" w:sz="8" w:space="4" w:color="1F3864"/>
        </w:pBdr>
        <w:spacing w:before="360" w:after="160"/>
      </w:pPr>
      <w:r>
        <w:rPr>
          <w:b/>
          <w:bCs/>
          <w:color w:val="1F3864"/>
          <w:sz w:val="28"/>
          <w:szCs w:val="28"/>
        </w:rPr>
        <w:lastRenderedPageBreak/>
        <w:t>5. Finance: Remitting and Returning the Deposit</w:t>
      </w:r>
    </w:p>
    <w:p w:rsidR="00F00D63" w:rsidRDefault="00ED129B">
      <w:pPr>
        <w:pStyle w:val="a4"/>
        <w:numPr>
          <w:ilvl w:val="0"/>
          <w:numId w:val="2"/>
        </w:numPr>
        <w:spacing w:after="90" w:line="300" w:lineRule="auto"/>
      </w:pPr>
      <w:r>
        <w:rPr>
          <w:b/>
          <w:bCs/>
          <w:color w:val="222222"/>
          <w:sz w:val="21"/>
          <w:szCs w:val="21"/>
        </w:rPr>
        <w:t xml:space="preserve">Designate a foreign-exchange bank for the transaction: Bring the original contract and your passport to a branch of a commercial bank (e.g., KEB Hana, </w:t>
      </w:r>
      <w:proofErr w:type="spellStart"/>
      <w:r>
        <w:rPr>
          <w:b/>
          <w:bCs/>
          <w:color w:val="222222"/>
          <w:sz w:val="21"/>
          <w:szCs w:val="21"/>
        </w:rPr>
        <w:t>Shinhan</w:t>
      </w:r>
      <w:proofErr w:type="spellEnd"/>
      <w:r>
        <w:rPr>
          <w:b/>
          <w:bCs/>
          <w:color w:val="222222"/>
          <w:sz w:val="21"/>
          <w:szCs w:val="21"/>
        </w:rPr>
        <w:t>, Woori) to designate your foreign-exchange transaction bank.</w:t>
      </w:r>
    </w:p>
    <w:p w:rsidR="00F00D63" w:rsidRDefault="00ED129B">
      <w:pPr>
        <w:pStyle w:val="a4"/>
        <w:numPr>
          <w:ilvl w:val="0"/>
          <w:numId w:val="2"/>
        </w:numPr>
        <w:spacing w:after="90" w:line="300" w:lineRule="auto"/>
      </w:pPr>
      <w:r>
        <w:rPr>
          <w:color w:val="222222"/>
          <w:sz w:val="21"/>
          <w:szCs w:val="21"/>
        </w:rPr>
        <w:t>Confirm procedures for bringing in /</w:t>
      </w:r>
      <w:r>
        <w:rPr>
          <w:color w:val="222222"/>
          <w:sz w:val="21"/>
          <w:szCs w:val="21"/>
        </w:rPr>
        <w:t xml:space="preserve"> remitting funds abroad: If you plan to bring your deposit in from overseas, or remit it abroad after the lease ends, the applicable foreign-exchange procedures can differ depending on the source of funds, remittance method, resident/non-resident status, a</w:t>
      </w:r>
      <w:r>
        <w:rPr>
          <w:color w:val="222222"/>
          <w:sz w:val="21"/>
          <w:szCs w:val="21"/>
        </w:rPr>
        <w:t>nd amount. Do not assume a single fixed procedure applies to everyone — always confirm the required reporting and supporting documents with your bank's foreign-exchange officer before remitting.</w:t>
      </w:r>
    </w:p>
    <w:p w:rsidR="00F00D63" w:rsidRDefault="00ED129B">
      <w:pPr>
        <w:spacing w:after="140"/>
        <w:ind w:left="460"/>
      </w:pPr>
      <w:r>
        <w:rPr>
          <w:i/>
          <w:iCs/>
          <w:color w:val="595959"/>
          <w:sz w:val="19"/>
          <w:szCs w:val="19"/>
        </w:rPr>
        <w:t>Note: Foreign exchange regulations are amended from time to t</w:t>
      </w:r>
      <w:r>
        <w:rPr>
          <w:i/>
          <w:iCs/>
          <w:color w:val="595959"/>
          <w:sz w:val="19"/>
          <w:szCs w:val="19"/>
        </w:rPr>
        <w:t>ime (the regulation effective July 6, 2026 currently applies), so confirming the latest rules with your bank at the time of the transaction is the safest approach.</w:t>
      </w:r>
    </w:p>
    <w:p w:rsidR="00F00D63" w:rsidRDefault="00ED129B">
      <w:pPr>
        <w:pStyle w:val="1"/>
        <w:pBdr>
          <w:bottom w:val="single" w:sz="8" w:space="4" w:color="1F3864"/>
        </w:pBdr>
        <w:spacing w:before="360" w:after="160"/>
      </w:pPr>
      <w:r>
        <w:rPr>
          <w:b/>
          <w:bCs/>
          <w:color w:val="1F3864"/>
          <w:sz w:val="28"/>
          <w:szCs w:val="28"/>
        </w:rPr>
        <w:t>6. Move-out Checklist</w:t>
      </w:r>
    </w:p>
    <w:p w:rsidR="00F00D63" w:rsidRDefault="00ED129B">
      <w:pPr>
        <w:pStyle w:val="a4"/>
        <w:numPr>
          <w:ilvl w:val="0"/>
          <w:numId w:val="2"/>
        </w:numPr>
        <w:spacing w:after="90" w:line="300" w:lineRule="auto"/>
      </w:pPr>
      <w:r>
        <w:rPr>
          <w:color w:val="222222"/>
          <w:sz w:val="21"/>
          <w:szCs w:val="21"/>
        </w:rPr>
        <w:t>Settle management fees and utility bills</w:t>
      </w:r>
    </w:p>
    <w:p w:rsidR="00F00D63" w:rsidRDefault="00ED129B">
      <w:pPr>
        <w:pStyle w:val="a4"/>
        <w:numPr>
          <w:ilvl w:val="0"/>
          <w:numId w:val="2"/>
        </w:numPr>
        <w:spacing w:after="90" w:line="300" w:lineRule="auto"/>
      </w:pPr>
      <w:r>
        <w:rPr>
          <w:color w:val="222222"/>
          <w:sz w:val="21"/>
          <w:szCs w:val="21"/>
        </w:rPr>
        <w:t>Compare the unit's current co</w:t>
      </w:r>
      <w:r>
        <w:rPr>
          <w:color w:val="222222"/>
          <w:sz w:val="21"/>
          <w:szCs w:val="21"/>
        </w:rPr>
        <w:t>ndition with your move-in photos/video and discuss the scope of restoration</w:t>
      </w:r>
    </w:p>
    <w:p w:rsidR="00F00D63" w:rsidRDefault="00ED129B">
      <w:pPr>
        <w:pStyle w:val="a4"/>
        <w:numPr>
          <w:ilvl w:val="0"/>
          <w:numId w:val="2"/>
        </w:numPr>
        <w:spacing w:after="90" w:line="300" w:lineRule="auto"/>
      </w:pPr>
      <w:r>
        <w:rPr>
          <w:color w:val="222222"/>
          <w:sz w:val="21"/>
          <w:szCs w:val="21"/>
        </w:rPr>
        <w:t>Confirm the return of your deposit (review whether legal measures such as a lease registration order are needed if the return is delayed)</w:t>
      </w:r>
    </w:p>
    <w:p w:rsidR="00F00D63" w:rsidRDefault="00ED129B">
      <w:pPr>
        <w:pStyle w:val="a4"/>
        <w:numPr>
          <w:ilvl w:val="0"/>
          <w:numId w:val="2"/>
        </w:numPr>
        <w:spacing w:after="90" w:line="300" w:lineRule="auto"/>
      </w:pPr>
      <w:r>
        <w:rPr>
          <w:color w:val="222222"/>
          <w:sz w:val="21"/>
          <w:szCs w:val="21"/>
        </w:rPr>
        <w:t>If you need to remit funds abroad, confirm</w:t>
      </w:r>
      <w:r>
        <w:rPr>
          <w:color w:val="222222"/>
          <w:sz w:val="21"/>
          <w:szCs w:val="21"/>
        </w:rPr>
        <w:t xml:space="preserve"> the foreign-exchange procedure with your bank in advance</w:t>
      </w:r>
    </w:p>
    <w:p w:rsidR="00F00D63" w:rsidRDefault="00F00D63">
      <w:pPr>
        <w:spacing w:before="300"/>
      </w:pPr>
    </w:p>
    <w:p w:rsidR="00F00D63" w:rsidRDefault="00ED129B">
      <w:pPr>
        <w:pBdr>
          <w:top w:val="single" w:sz="6" w:space="4" w:color="BFBFBF"/>
        </w:pBdr>
        <w:spacing w:before="120" w:after="60"/>
      </w:pPr>
      <w:r>
        <w:rPr>
          <w:b/>
          <w:bCs/>
          <w:color w:val="595959"/>
          <w:sz w:val="19"/>
          <w:szCs w:val="19"/>
        </w:rPr>
        <w:t>Disclaimer</w:t>
      </w:r>
    </w:p>
    <w:p w:rsidR="00F00D63" w:rsidRDefault="00ED129B">
      <w:pPr>
        <w:spacing w:after="40"/>
      </w:pPr>
      <w:r>
        <w:rPr>
          <w:i/>
          <w:iCs/>
          <w:color w:val="595959"/>
          <w:sz w:val="18"/>
          <w:szCs w:val="18"/>
        </w:rPr>
        <w:t>This guide is intended as general practical information and does not substitute for a legal assessment of any specific contract or situation. Matters such as the validity of special clau</w:t>
      </w:r>
      <w:r>
        <w:rPr>
          <w:i/>
          <w:iCs/>
          <w:color w:val="595959"/>
          <w:sz w:val="18"/>
          <w:szCs w:val="18"/>
        </w:rPr>
        <w:t>ses, requirements for termination due to rent arrears, and foreign-exchange reporting procedures should be checked against current law, and you should consult a licensed attorney, certified judicial scrivener, or administrative agent (</w:t>
      </w:r>
      <w:proofErr w:type="spellStart"/>
      <w:r>
        <w:rPr>
          <w:i/>
          <w:iCs/>
          <w:color w:val="595959"/>
          <w:sz w:val="18"/>
          <w:szCs w:val="18"/>
        </w:rPr>
        <w:t>haengjeongsa</w:t>
      </w:r>
      <w:proofErr w:type="spellEnd"/>
      <w:r>
        <w:rPr>
          <w:i/>
          <w:iCs/>
          <w:color w:val="595959"/>
          <w:sz w:val="18"/>
          <w:szCs w:val="18"/>
        </w:rPr>
        <w:t>) as need</w:t>
      </w:r>
      <w:r>
        <w:rPr>
          <w:i/>
          <w:iCs/>
          <w:color w:val="595959"/>
          <w:sz w:val="18"/>
          <w:szCs w:val="18"/>
        </w:rPr>
        <w:t>ed.</w:t>
      </w:r>
    </w:p>
    <w:sectPr w:rsidR="00F00D63">
      <w:pgSz w:w="11906" w:h="16838"/>
      <w:pgMar w:top="1000" w:right="1100" w:bottom="10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C40C22"/>
    <w:multiLevelType w:val="hybridMultilevel"/>
    <w:tmpl w:val="613CC95E"/>
    <w:lvl w:ilvl="0" w:tplc="AFF28E66">
      <w:start w:val="1"/>
      <w:numFmt w:val="bullet"/>
      <w:lvlText w:val="●"/>
      <w:lvlJc w:val="left"/>
      <w:pPr>
        <w:ind w:left="720" w:hanging="360"/>
      </w:pPr>
    </w:lvl>
    <w:lvl w:ilvl="1" w:tplc="818EAE60">
      <w:start w:val="1"/>
      <w:numFmt w:val="bullet"/>
      <w:lvlText w:val="○"/>
      <w:lvlJc w:val="left"/>
      <w:pPr>
        <w:ind w:left="1440" w:hanging="360"/>
      </w:pPr>
    </w:lvl>
    <w:lvl w:ilvl="2" w:tplc="0BFC0C1A">
      <w:start w:val="1"/>
      <w:numFmt w:val="bullet"/>
      <w:lvlText w:val="■"/>
      <w:lvlJc w:val="left"/>
      <w:pPr>
        <w:ind w:left="2160" w:hanging="360"/>
      </w:pPr>
    </w:lvl>
    <w:lvl w:ilvl="3" w:tplc="BAE2F282">
      <w:start w:val="1"/>
      <w:numFmt w:val="bullet"/>
      <w:lvlText w:val="●"/>
      <w:lvlJc w:val="left"/>
      <w:pPr>
        <w:ind w:left="2880" w:hanging="360"/>
      </w:pPr>
    </w:lvl>
    <w:lvl w:ilvl="4" w:tplc="FE7CA794">
      <w:start w:val="1"/>
      <w:numFmt w:val="bullet"/>
      <w:lvlText w:val="○"/>
      <w:lvlJc w:val="left"/>
      <w:pPr>
        <w:ind w:left="3600" w:hanging="360"/>
      </w:pPr>
    </w:lvl>
    <w:lvl w:ilvl="5" w:tplc="7A00E156">
      <w:start w:val="1"/>
      <w:numFmt w:val="bullet"/>
      <w:lvlText w:val="■"/>
      <w:lvlJc w:val="left"/>
      <w:pPr>
        <w:ind w:left="4320" w:hanging="360"/>
      </w:pPr>
    </w:lvl>
    <w:lvl w:ilvl="6" w:tplc="4BD80F1C">
      <w:start w:val="1"/>
      <w:numFmt w:val="bullet"/>
      <w:lvlText w:val="●"/>
      <w:lvlJc w:val="left"/>
      <w:pPr>
        <w:ind w:left="5040" w:hanging="360"/>
      </w:pPr>
    </w:lvl>
    <w:lvl w:ilvl="7" w:tplc="05CA7A36">
      <w:start w:val="1"/>
      <w:numFmt w:val="bullet"/>
      <w:lvlText w:val="●"/>
      <w:lvlJc w:val="left"/>
      <w:pPr>
        <w:ind w:left="5760" w:hanging="360"/>
      </w:pPr>
    </w:lvl>
    <w:lvl w:ilvl="8" w:tplc="F38A7628">
      <w:start w:val="1"/>
      <w:numFmt w:val="bullet"/>
      <w:lvlText w:val="●"/>
      <w:lvlJc w:val="left"/>
      <w:pPr>
        <w:ind w:left="6480" w:hanging="360"/>
      </w:pPr>
    </w:lvl>
  </w:abstractNum>
  <w:abstractNum w:abstractNumId="1" w15:restartNumberingAfterBreak="0">
    <w:nsid w:val="2D512D75"/>
    <w:multiLevelType w:val="hybridMultilevel"/>
    <w:tmpl w:val="3A66BEAE"/>
    <w:lvl w:ilvl="0" w:tplc="AB0C9854">
      <w:start w:val="1"/>
      <w:numFmt w:val="bullet"/>
      <w:lvlText w:val="●"/>
      <w:lvlJc w:val="left"/>
      <w:pPr>
        <w:ind w:left="460" w:hanging="260"/>
      </w:pPr>
    </w:lvl>
    <w:lvl w:ilvl="1" w:tplc="4222622C">
      <w:numFmt w:val="decimal"/>
      <w:lvlText w:val=""/>
      <w:lvlJc w:val="left"/>
    </w:lvl>
    <w:lvl w:ilvl="2" w:tplc="A53C7C04">
      <w:numFmt w:val="decimal"/>
      <w:lvlText w:val=""/>
      <w:lvlJc w:val="left"/>
    </w:lvl>
    <w:lvl w:ilvl="3" w:tplc="3E580DF6">
      <w:numFmt w:val="decimal"/>
      <w:lvlText w:val=""/>
      <w:lvlJc w:val="left"/>
    </w:lvl>
    <w:lvl w:ilvl="4" w:tplc="EA5C4A3A">
      <w:numFmt w:val="decimal"/>
      <w:lvlText w:val=""/>
      <w:lvlJc w:val="left"/>
    </w:lvl>
    <w:lvl w:ilvl="5" w:tplc="0806148E">
      <w:numFmt w:val="decimal"/>
      <w:lvlText w:val=""/>
      <w:lvlJc w:val="left"/>
    </w:lvl>
    <w:lvl w:ilvl="6" w:tplc="F0D025AE">
      <w:numFmt w:val="decimal"/>
      <w:lvlText w:val=""/>
      <w:lvlJc w:val="left"/>
    </w:lvl>
    <w:lvl w:ilvl="7" w:tplc="F9EEE370">
      <w:numFmt w:val="decimal"/>
      <w:lvlText w:val=""/>
      <w:lvlJc w:val="left"/>
    </w:lvl>
    <w:lvl w:ilvl="8" w:tplc="CD586104">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proofState w:spelling="clean" w:grammar="clean"/>
  <w:defaultTabStop w:val="80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D63"/>
    <w:rsid w:val="00ED129B"/>
    <w:rsid w:val="00F00D6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5C0B50-45D3-456F-A2FA-F37E33782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EastAsia" w:hAnsi="Calibri" w:cs="Calibri"/>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sz w:val="24"/>
      <w:szCs w:val="24"/>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굵은 텍스트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Char"/>
    <w:uiPriority w:val="99"/>
    <w:semiHidden/>
    <w:unhideWhenUsed/>
  </w:style>
  <w:style w:type="character" w:customStyle="1" w:styleId="Char">
    <w:name w:val="각주 텍스트 Char"/>
    <w:link w:val="a7"/>
    <w:uiPriority w:val="99"/>
    <w:semiHidden/>
    <w:unhideWhenUsed/>
    <w:rPr>
      <w:sz w:val="20"/>
      <w:szCs w:val="20"/>
    </w:rPr>
  </w:style>
  <w:style w:type="character" w:styleId="a8">
    <w:name w:val="endnote reference"/>
    <w:uiPriority w:val="99"/>
    <w:semiHidden/>
    <w:unhideWhenUsed/>
    <w:rPr>
      <w:vertAlign w:val="superscript"/>
    </w:rPr>
  </w:style>
  <w:style w:type="paragraph" w:styleId="a9">
    <w:name w:val="endnote text"/>
    <w:link w:val="Char0"/>
    <w:uiPriority w:val="99"/>
    <w:semiHidden/>
    <w:unhideWhenUsed/>
  </w:style>
  <w:style w:type="character" w:customStyle="1" w:styleId="Char0">
    <w:name w:val="미주 텍스트 Char"/>
    <w:link w:val="a9"/>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1198</Words>
  <Characters>6834</Characters>
  <Application>Microsoft Office Word</Application>
  <DocSecurity>0</DocSecurity>
  <Lines>56</Lines>
  <Paragraphs>16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8016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test</cp:lastModifiedBy>
  <cp:revision>2</cp:revision>
  <dcterms:created xsi:type="dcterms:W3CDTF">2026-09-13T09:22:00Z</dcterms:created>
  <dcterms:modified xsi:type="dcterms:W3CDTF">2026-09-13T09:22:00Z</dcterms:modified>
</cp:coreProperties>
</file>